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5C9A1137" w14:textId="77777777" w:rsidR="00D052BD" w:rsidRPr="00BD6D3B" w:rsidRDefault="00D052BD" w:rsidP="00D052BD">
      <w:pPr>
        <w:pStyle w:val="Default"/>
        <w:jc w:val="center"/>
        <w:rPr>
          <w:rFonts w:ascii="Marianne Light" w:hAnsi="Marianne Light"/>
          <w:color w:val="6E445A"/>
          <w:sz w:val="21"/>
          <w:szCs w:val="21"/>
        </w:rPr>
      </w:pPr>
    </w:p>
    <w:p w14:paraId="1B4CA204" w14:textId="6B195EC1"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EA718C">
        <w:rPr>
          <w:bCs/>
          <w:color w:val="auto"/>
          <w:sz w:val="20"/>
        </w:rPr>
        <w:t>Bac PRO Artisanat d’Art, option marchandisage visuel</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011503C8" w:rsidR="00BD6D3B" w:rsidRDefault="00BD6D3B" w:rsidP="00BD6D3B">
      <w:pPr>
        <w:pStyle w:val="Encadr"/>
      </w:pPr>
      <w:r>
        <w:t>Représenté(e) par (nom) :</w:t>
      </w:r>
      <w:r w:rsidR="00A10D74">
        <w:t xml:space="preserve"> </w:t>
      </w:r>
      <w:r w:rsidR="0090496C">
        <w:rPr>
          <w:b/>
          <w:bCs/>
        </w:rPr>
        <w:t>MARIE-JEANNE Philippe</w:t>
      </w:r>
      <w:r>
        <w:tab/>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4BAE5355"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9065DA">
        <w:rPr>
          <w:color w:val="000000"/>
          <w:sz w:val="16"/>
          <w:szCs w:val="16"/>
        </w:rPr>
        <w:t>16 novembre 2023</w:t>
      </w:r>
      <w:r w:rsidR="009065DA" w:rsidRPr="00835727">
        <w:rPr>
          <w:color w:val="000000"/>
          <w:sz w:val="16"/>
          <w:szCs w:val="16"/>
        </w:rPr>
        <w:t xml:space="preserve"> </w:t>
      </w:r>
      <w:r w:rsidRPr="00835727">
        <w:rPr>
          <w:color w:val="000000"/>
          <w:sz w:val="16"/>
          <w:szCs w:val="16"/>
        </w:rPr>
        <w:t xml:space="preserve">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1865D7E6" w:rsidR="00A6289F" w:rsidRPr="00BF1484" w:rsidRDefault="0019229D" w:rsidP="00E745EB">
            <w:pPr>
              <w:spacing w:before="1560"/>
              <w:rPr>
                <w:b/>
              </w:rPr>
            </w:pPr>
            <w:r w:rsidRPr="00BF1484">
              <w:t>Nom prénom :</w:t>
            </w:r>
            <w:r w:rsidR="00910FF4">
              <w:t xml:space="preserve"> </w:t>
            </w:r>
            <w:r w:rsidR="0090496C">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BBF080E" w14:textId="77777777" w:rsidR="00910FF4" w:rsidRDefault="00910FF4" w:rsidP="00540F3F">
      <w:pPr>
        <w:pStyle w:val="Encadr"/>
        <w:pBdr>
          <w:left w:val="dotted" w:sz="12" w:space="11" w:color="6E445A"/>
        </w:pBdr>
      </w:pPr>
    </w:p>
    <w:p w14:paraId="09D8ECED" w14:textId="531E124A" w:rsidR="005C1073" w:rsidRDefault="005C1073" w:rsidP="00540F3F">
      <w:pPr>
        <w:pStyle w:val="Encadr"/>
        <w:pBdr>
          <w:left w:val="dotted" w:sz="12" w:space="11" w:color="6E445A"/>
        </w:pBdr>
      </w:pPr>
      <w:r>
        <w:rPr>
          <w:rFonts w:ascii="Sabon-Roman" w:hAnsi="Sabon-Roman" w:cs="Sabon-Roman"/>
          <w:szCs w:val="20"/>
        </w:rPr>
        <w:t>La formation en milieu professionnel est une phase déterminante de la formation menant au diplôme et à ce titre, elle doit être en interaction avec la formation donnée en centre de formation. Elle concourt à l’acquisition des compétences requises pour l’obtention du diplôme.</w:t>
      </w:r>
    </w:p>
    <w:p w14:paraId="1C82FBDE" w14:textId="33CF7376"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activités confiées à l’élève au cours de sa formation en milieu professionnel consistent à :</w:t>
      </w:r>
    </w:p>
    <w:p w14:paraId="472113E2" w14:textId="1E2A65B2"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contribuer à l’expression de l’image commerciale d’une enseigne</w:t>
      </w:r>
    </w:p>
    <w:p w14:paraId="782DD906" w14:textId="1783FE30"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s’assurer de la cohérence globale d’un point de vente ou d’exposition</w:t>
      </w:r>
    </w:p>
    <w:p w14:paraId="24F049FA" w14:textId="4CBFA0E9"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élaborer, réaliser, implanter un aménagement de boutique, de rayon et/ou une vitrine</w:t>
      </w:r>
    </w:p>
    <w:p w14:paraId="5EBD4853" w14:textId="1211347E"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présenter les produits de façon fonctionnelle, esthétique et commerciale</w:t>
      </w:r>
    </w:p>
    <w:p w14:paraId="675B9278" w14:textId="3A9E1FFA"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périodes de formation en en milieu professionnel permettent à l’élève :</w:t>
      </w:r>
    </w:p>
    <w:p w14:paraId="55927738" w14:textId="21B83560"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l’appréhension par le concret des réalités des contraintes économiques, juridiques, humaines, et techniques de l’entreprise</w:t>
      </w:r>
    </w:p>
    <w:p w14:paraId="2A52CF27" w14:textId="03A00BFC"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l’appréhension et le repérage des méthodes de travail</w:t>
      </w:r>
    </w:p>
    <w:p w14:paraId="4AEE1B76" w14:textId="4A6DA3B1"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l’exécution d’interventions conformes au référentiel des activités professionnelles</w:t>
      </w:r>
    </w:p>
    <w:p w14:paraId="12B6E523" w14:textId="2D162D26"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xml:space="preserve">– l’utilisation et la validation de ses acquis dans le domaine de la communication, mettant en </w:t>
      </w:r>
      <w:proofErr w:type="spellStart"/>
      <w:r>
        <w:rPr>
          <w:rFonts w:ascii="Sabon-Roman" w:hAnsi="Sabon-Roman" w:cs="Sabon-Roman"/>
          <w:szCs w:val="20"/>
        </w:rPr>
        <w:t>oeuvre</w:t>
      </w:r>
      <w:proofErr w:type="spellEnd"/>
      <w:r>
        <w:rPr>
          <w:rFonts w:ascii="Sabon-Roman" w:hAnsi="Sabon-Roman" w:cs="Sabon-Roman"/>
          <w:szCs w:val="20"/>
        </w:rPr>
        <w:t>,</w:t>
      </w:r>
    </w:p>
    <w:p w14:paraId="0424C419" w14:textId="045FB931" w:rsidR="005C1073" w:rsidRDefault="005C1073" w:rsidP="00540F3F">
      <w:pPr>
        <w:pStyle w:val="Encadr"/>
        <w:pBdr>
          <w:left w:val="dotted" w:sz="12" w:space="11" w:color="6E445A"/>
        </w:pBdr>
        <w:rPr>
          <w:rFonts w:ascii="Sabon-Roman" w:hAnsi="Sabon-Roman" w:cs="Sabon-Roman"/>
          <w:szCs w:val="20"/>
        </w:rPr>
      </w:pPr>
      <w:proofErr w:type="gramStart"/>
      <w:r>
        <w:rPr>
          <w:rFonts w:ascii="Sabon-Roman" w:hAnsi="Sabon-Roman" w:cs="Sabon-Roman"/>
          <w:szCs w:val="20"/>
        </w:rPr>
        <w:t>en</w:t>
      </w:r>
      <w:proofErr w:type="gramEnd"/>
      <w:r>
        <w:rPr>
          <w:rFonts w:ascii="Sabon-Roman" w:hAnsi="Sabon-Roman" w:cs="Sabon-Roman"/>
          <w:szCs w:val="20"/>
        </w:rPr>
        <w:t xml:space="preserve"> particulier, de véritables relations avec différents interlocuteurs</w:t>
      </w:r>
    </w:p>
    <w:p w14:paraId="67221777" w14:textId="0B248488"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 prise de conscience de l’importance de la compétence de tous les acteurs et services dans une entreprise</w:t>
      </w:r>
    </w:p>
    <w:p w14:paraId="10225996" w14:textId="2028952E"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 prise en compte des aspects commerciaux et de la gestion</w:t>
      </w:r>
    </w:p>
    <w:p w14:paraId="39E050AE" w14:textId="77777777" w:rsidR="005C1073" w:rsidRDefault="005C1073" w:rsidP="00540F3F">
      <w:pPr>
        <w:pStyle w:val="Encadr"/>
        <w:pBdr>
          <w:left w:val="dotted" w:sz="12" w:space="11" w:color="6E445A"/>
        </w:pBdr>
        <w:rPr>
          <w:rFonts w:ascii="Sabon-Roman" w:hAnsi="Sabon-Roman" w:cs="Sabon-Roman"/>
          <w:szCs w:val="20"/>
        </w:rPr>
      </w:pPr>
    </w:p>
    <w:p w14:paraId="7CC61F6D" w14:textId="573628BB" w:rsidR="005C1073" w:rsidRDefault="005C1073" w:rsidP="00540F3F">
      <w:pPr>
        <w:pStyle w:val="Encadr"/>
        <w:pBdr>
          <w:left w:val="dotted" w:sz="12" w:space="11" w:color="6E445A"/>
        </w:pBdr>
        <w:rPr>
          <w:rFonts w:ascii="ItcKabel-Bold" w:hAnsi="ItcKabel-Bold" w:cs="ItcKabel-Bold"/>
          <w:b/>
          <w:bCs/>
          <w:sz w:val="26"/>
          <w:szCs w:val="26"/>
        </w:rPr>
      </w:pPr>
      <w:r>
        <w:rPr>
          <w:rFonts w:ascii="ItcKabel-Bold" w:hAnsi="ItcKabel-Bold" w:cs="ItcKabel-Bold"/>
          <w:b/>
          <w:bCs/>
          <w:sz w:val="26"/>
          <w:szCs w:val="26"/>
        </w:rPr>
        <w:t>Organisation de la formation en milieu professionnel</w:t>
      </w:r>
    </w:p>
    <w:p w14:paraId="07B8744F" w14:textId="30373DA7"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La période de formation en milieu professionnel correspond à une formation réelle. Elle doit être bien préparée, en liaison avec tous les enseignements.</w:t>
      </w:r>
    </w:p>
    <w:p w14:paraId="7108886E" w14:textId="575D873F"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 temps de formation en milieu professionnel est réparti sur les deux années en tenant compte :</w:t>
      </w:r>
    </w:p>
    <w:p w14:paraId="4F6D8290" w14:textId="456DC265"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des contraintes matérielles des entreprises et des établissements scolaires ;</w:t>
      </w:r>
    </w:p>
    <w:p w14:paraId="5A4F0628" w14:textId="7A852DC1"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lastRenderedPageBreak/>
        <w:t>– des objectifs pédagogiques spécifiques à ces périodes ;</w:t>
      </w:r>
    </w:p>
    <w:p w14:paraId="2E31B693" w14:textId="65A7C98A"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des cursus d’apprentissage.</w:t>
      </w:r>
    </w:p>
    <w:p w14:paraId="25EAD959" w14:textId="00F5B15C"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périodes d’activités en milieu professionnel et en établissement scolaire doivent assurer la continuité de la formation.</w:t>
      </w:r>
    </w:p>
    <w:p w14:paraId="0CE9C8E7" w14:textId="447CA542"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xml:space="preserve">Il est conseillé que les </w:t>
      </w:r>
      <w:r>
        <w:rPr>
          <w:rFonts w:ascii="Sabon-Bold" w:hAnsi="Sabon-Bold" w:cs="Sabon-Bold"/>
          <w:b/>
          <w:bCs/>
          <w:szCs w:val="20"/>
        </w:rPr>
        <w:t xml:space="preserve">16 semaines </w:t>
      </w:r>
      <w:r>
        <w:rPr>
          <w:rFonts w:ascii="Sabon-Roman" w:hAnsi="Sabon-Roman" w:cs="Sabon-Roman"/>
          <w:szCs w:val="20"/>
        </w:rPr>
        <w:t>de stage se déroulent dans au moins deux entreprises de secteurs d’activité différents.</w:t>
      </w:r>
    </w:p>
    <w:p w14:paraId="35284F0A" w14:textId="01CC00E4"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Ces périodes font l’objet d’une planification visant à préserver l’unité et la cohérence de la formation.</w:t>
      </w:r>
    </w:p>
    <w:p w14:paraId="14132947" w14:textId="1679DCFB"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documents et matériels pédagogiques nécessaires à la formation et à l’évaluation sont définis en commun par les formateurs des établissements et les tuteurs des entreprises concernées à partir des objectifs prévus par le référentiel de certification (compétences).</w:t>
      </w:r>
    </w:p>
    <w:p w14:paraId="3FEC5E26" w14:textId="38EC8D2D" w:rsidR="005C1073" w:rsidRPr="00EA718C" w:rsidRDefault="005C1073" w:rsidP="00540F3F">
      <w:pPr>
        <w:pStyle w:val="Encadr"/>
        <w:pBdr>
          <w:left w:val="dotted" w:sz="12" w:space="11" w:color="6E445A"/>
        </w:pBdr>
        <w:rPr>
          <w:b/>
          <w:bCs/>
        </w:rPr>
      </w:pPr>
      <w:r w:rsidRPr="00EA718C">
        <w:rPr>
          <w:b/>
          <w:bCs/>
        </w:rPr>
        <w:t>Voie scolaire</w:t>
      </w:r>
    </w:p>
    <w:p w14:paraId="60656954" w14:textId="120D2E8C"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xml:space="preserve">La durée de la formation en milieu professionnel est de </w:t>
      </w:r>
      <w:r>
        <w:rPr>
          <w:rFonts w:ascii="Sabon-Bold" w:hAnsi="Sabon-Bold" w:cs="Sabon-Bold"/>
          <w:b/>
          <w:bCs/>
          <w:szCs w:val="20"/>
        </w:rPr>
        <w:t xml:space="preserve">16 semaines </w:t>
      </w:r>
      <w:r>
        <w:rPr>
          <w:rFonts w:ascii="Sabon-Roman" w:hAnsi="Sabon-Roman" w:cs="Sabon-Roman"/>
          <w:szCs w:val="20"/>
        </w:rPr>
        <w:t>: il est souhaitable que les 8 premières semaines se déroulent en première année. Les périodes de formation en milieu</w:t>
      </w:r>
      <w:r w:rsidR="00EA718C">
        <w:rPr>
          <w:rFonts w:ascii="Sabon-Roman" w:hAnsi="Sabon-Roman" w:cs="Sabon-Roman"/>
          <w:szCs w:val="20"/>
        </w:rPr>
        <w:t xml:space="preserve"> professionnel de l’année de terminale servent notamment d’appui à l’élaboration d’un projet d’art appliqué évalué dans l’épreuve E3.</w:t>
      </w:r>
    </w:p>
    <w:p w14:paraId="20173323" w14:textId="5AF89902"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Pour chacune des deux années, la durée de la formation en milieu professionnel est fractionnée en deux séquences équilibrées. La place de ces séquences dans l’année scolaire est laissée à l’initiative de l’établissement en accord avec l’entreprise d’accueil. Toutefois, en année terminale, la dernière séquence s’achève au plus tard un mois avant le début des épreuves de l’examen.</w:t>
      </w:r>
    </w:p>
    <w:p w14:paraId="7680DFBF" w14:textId="1FE375BD"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Aux termes de la circulaire n° 2000-095 du 26 juin 2000 (</w:t>
      </w:r>
      <w:r>
        <w:rPr>
          <w:rFonts w:ascii="Sabon-Italic" w:hAnsi="Sabon-Italic" w:cs="Sabon-Italic"/>
          <w:i/>
          <w:iCs/>
          <w:szCs w:val="20"/>
        </w:rPr>
        <w:t xml:space="preserve">BOEN </w:t>
      </w:r>
      <w:r>
        <w:rPr>
          <w:rFonts w:ascii="Sabon-Roman" w:hAnsi="Sabon-Roman" w:cs="Sabon-Roman"/>
          <w:szCs w:val="20"/>
        </w:rPr>
        <w:t>n° 25 du 29 juin 2000), la recherche et le choix des entreprises d’accueil relèvent de la responsabilité de l’équipe pédagogique de l’établissement de formation.</w:t>
      </w:r>
    </w:p>
    <w:p w14:paraId="14249316" w14:textId="33E1913E"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L’organisation des périodes de formation en milieu professionnel fait l’objet d’une convention entre le chef d’entreprise accueillant l’élève et le chef d’établissement scolaire où ce dernier est scolarisé. Cette convention est établie conformément à la convention type définie par la note de service n° 96-241 du 15 octobre 1996 (</w:t>
      </w:r>
      <w:r>
        <w:rPr>
          <w:rFonts w:ascii="Sabon-Italic" w:hAnsi="Sabon-Italic" w:cs="Sabon-Italic"/>
          <w:i/>
          <w:iCs/>
          <w:szCs w:val="20"/>
        </w:rPr>
        <w:t xml:space="preserve">BOEN </w:t>
      </w:r>
      <w:r>
        <w:rPr>
          <w:rFonts w:ascii="Sabon-Roman" w:hAnsi="Sabon-Roman" w:cs="Sabon-Roman"/>
          <w:szCs w:val="20"/>
        </w:rPr>
        <w:t>n° 38 du 24 octobre 1996).</w:t>
      </w:r>
    </w:p>
    <w:p w14:paraId="17D6154A" w14:textId="77777777" w:rsidR="00EA718C" w:rsidRDefault="00EA718C" w:rsidP="00540F3F">
      <w:pPr>
        <w:pStyle w:val="Encadr"/>
        <w:pBdr>
          <w:left w:val="dotted" w:sz="12" w:space="11" w:color="6E445A"/>
        </w:pBdr>
        <w:rPr>
          <w:rFonts w:ascii="Sabon-Roman" w:hAnsi="Sabon-Roman" w:cs="Sabon-Roman"/>
          <w:szCs w:val="20"/>
        </w:rPr>
      </w:pPr>
    </w:p>
    <w:p w14:paraId="039D0932" w14:textId="77777777" w:rsidR="00EA718C" w:rsidRPr="00EA718C" w:rsidRDefault="00EA718C" w:rsidP="00540F3F">
      <w:pPr>
        <w:pStyle w:val="Encadr"/>
        <w:pBdr>
          <w:left w:val="dotted" w:sz="12" w:space="11" w:color="6E445A"/>
        </w:pBdr>
        <w:rPr>
          <w:rFonts w:ascii="Sabon-Roman" w:hAnsi="Sabon-Roman" w:cs="Sabon-Roman"/>
          <w:b/>
          <w:bCs/>
          <w:szCs w:val="20"/>
        </w:rPr>
      </w:pPr>
      <w:r w:rsidRPr="00EA718C">
        <w:rPr>
          <w:rFonts w:ascii="Sabon-Roman" w:hAnsi="Sabon-Roman" w:cs="Sabon-Roman"/>
          <w:b/>
          <w:bCs/>
          <w:szCs w:val="20"/>
        </w:rPr>
        <w:t>Voie de l’apprentissage</w:t>
      </w:r>
    </w:p>
    <w:p w14:paraId="19F82BB6" w14:textId="6F6413DF"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La durée de la formation en milieu professionnel est incluse dans la formation en entreprise. Afin d’assurer une cohérence dans la formation, l’équipe pédagogique du centre de formation d’apprentis doit veiller à informer les maîtres d’apprentissage des objectifs des différentes périodes de cette formation.</w:t>
      </w:r>
    </w:p>
    <w:p w14:paraId="46F24B8F" w14:textId="77777777" w:rsidR="00EA718C" w:rsidRDefault="00EA718C"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BE671D">
      <w:pPr>
        <w:pStyle w:val="Encadr"/>
        <w:pBdr>
          <w:bottom w:val="dotted" w:sz="12" w:space="20" w:color="6E445A"/>
        </w:pBd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7BC867B2" w:rsidR="00502B96" w:rsidRDefault="00502B96" w:rsidP="00502B96">
      <w:pPr>
        <w:pStyle w:val="Encadr"/>
      </w:pPr>
      <w:r>
        <w:t>Représenté(e) par (nom) :</w:t>
      </w:r>
      <w:r w:rsidR="00A10D74">
        <w:t xml:space="preserve"> </w:t>
      </w:r>
      <w:r w:rsidR="006930E6">
        <w:rPr>
          <w:b/>
          <w:bCs/>
        </w:rPr>
        <w:t>MARIE-JEANNE Philippe</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196C8" w14:textId="77777777" w:rsidR="005F4D11" w:rsidRDefault="005F4D11" w:rsidP="007B1965">
      <w:pPr>
        <w:spacing w:after="0"/>
      </w:pPr>
      <w:r>
        <w:separator/>
      </w:r>
    </w:p>
  </w:endnote>
  <w:endnote w:type="continuationSeparator" w:id="0">
    <w:p w14:paraId="2B580E14" w14:textId="77777777" w:rsidR="005F4D11" w:rsidRDefault="005F4D11"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abon-Roman">
    <w:altName w:val="Cambria"/>
    <w:panose1 w:val="00000000000000000000"/>
    <w:charset w:val="00"/>
    <w:family w:val="roman"/>
    <w:notTrueType/>
    <w:pitch w:val="default"/>
    <w:sig w:usb0="00000003" w:usb1="00000000" w:usb2="00000000" w:usb3="00000000" w:csb0="00000001" w:csb1="00000000"/>
  </w:font>
  <w:font w:name="ItcKabel-Bold">
    <w:altName w:val="Calibri"/>
    <w:panose1 w:val="00000000000000000000"/>
    <w:charset w:val="00"/>
    <w:family w:val="swiss"/>
    <w:notTrueType/>
    <w:pitch w:val="default"/>
    <w:sig w:usb0="00000003" w:usb1="00000000" w:usb2="00000000" w:usb3="00000000" w:csb0="00000001" w:csb1="00000000"/>
  </w:font>
  <w:font w:name="Sabon-Bold">
    <w:altName w:val="Cambria"/>
    <w:panose1 w:val="00000000000000000000"/>
    <w:charset w:val="00"/>
    <w:family w:val="roman"/>
    <w:notTrueType/>
    <w:pitch w:val="default"/>
    <w:sig w:usb0="00000003" w:usb1="00000000" w:usb2="00000000" w:usb3="00000000" w:csb0="00000001" w:csb1="00000000"/>
  </w:font>
  <w:font w:name="Sabon-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6D20" w14:textId="77777777" w:rsidR="005F4D11" w:rsidRDefault="005F4D11" w:rsidP="007B1965">
      <w:pPr>
        <w:spacing w:after="0"/>
      </w:pPr>
      <w:r>
        <w:separator/>
      </w:r>
    </w:p>
  </w:footnote>
  <w:footnote w:type="continuationSeparator" w:id="0">
    <w:p w14:paraId="074CF902" w14:textId="77777777" w:rsidR="005F4D11" w:rsidRDefault="005F4D11"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2"/>
  </w:num>
  <w:num w:numId="2" w16cid:durableId="98648675">
    <w:abstractNumId w:val="20"/>
  </w:num>
  <w:num w:numId="3" w16cid:durableId="1719667122">
    <w:abstractNumId w:val="40"/>
  </w:num>
  <w:num w:numId="4" w16cid:durableId="466360862">
    <w:abstractNumId w:val="39"/>
  </w:num>
  <w:num w:numId="5" w16cid:durableId="1460998500">
    <w:abstractNumId w:val="43"/>
  </w:num>
  <w:num w:numId="6" w16cid:durableId="274219097">
    <w:abstractNumId w:val="3"/>
  </w:num>
  <w:num w:numId="7" w16cid:durableId="735708324">
    <w:abstractNumId w:val="30"/>
  </w:num>
  <w:num w:numId="8" w16cid:durableId="2098551424">
    <w:abstractNumId w:val="42"/>
  </w:num>
  <w:num w:numId="9" w16cid:durableId="1629433031">
    <w:abstractNumId w:val="11"/>
  </w:num>
  <w:num w:numId="10" w16cid:durableId="1179000370">
    <w:abstractNumId w:val="35"/>
  </w:num>
  <w:num w:numId="11" w16cid:durableId="1770005962">
    <w:abstractNumId w:val="17"/>
  </w:num>
  <w:num w:numId="12" w16cid:durableId="250043442">
    <w:abstractNumId w:val="6"/>
  </w:num>
  <w:num w:numId="13" w16cid:durableId="627126295">
    <w:abstractNumId w:val="31"/>
  </w:num>
  <w:num w:numId="14" w16cid:durableId="241068270">
    <w:abstractNumId w:val="10"/>
  </w:num>
  <w:num w:numId="15" w16cid:durableId="1096823488">
    <w:abstractNumId w:val="19"/>
  </w:num>
  <w:num w:numId="16" w16cid:durableId="1619948191">
    <w:abstractNumId w:val="12"/>
  </w:num>
  <w:num w:numId="17" w16cid:durableId="1527214668">
    <w:abstractNumId w:val="4"/>
  </w:num>
  <w:num w:numId="18" w16cid:durableId="400060351">
    <w:abstractNumId w:val="22"/>
  </w:num>
  <w:num w:numId="19" w16cid:durableId="528375298">
    <w:abstractNumId w:val="2"/>
  </w:num>
  <w:num w:numId="20" w16cid:durableId="654381827">
    <w:abstractNumId w:val="34"/>
  </w:num>
  <w:num w:numId="21" w16cid:durableId="818497060">
    <w:abstractNumId w:val="29"/>
  </w:num>
  <w:num w:numId="22" w16cid:durableId="1912038410">
    <w:abstractNumId w:val="5"/>
  </w:num>
  <w:num w:numId="23" w16cid:durableId="130220881">
    <w:abstractNumId w:val="41"/>
  </w:num>
  <w:num w:numId="24" w16cid:durableId="565839662">
    <w:abstractNumId w:val="28"/>
  </w:num>
  <w:num w:numId="25" w16cid:durableId="2038849277">
    <w:abstractNumId w:val="36"/>
  </w:num>
  <w:num w:numId="26" w16cid:durableId="1504317704">
    <w:abstractNumId w:val="24"/>
  </w:num>
  <w:num w:numId="27" w16cid:durableId="1655183913">
    <w:abstractNumId w:val="38"/>
  </w:num>
  <w:num w:numId="28" w16cid:durableId="286667375">
    <w:abstractNumId w:val="13"/>
  </w:num>
  <w:num w:numId="29" w16cid:durableId="1902522657">
    <w:abstractNumId w:val="14"/>
  </w:num>
  <w:num w:numId="30" w16cid:durableId="1653867484">
    <w:abstractNumId w:val="0"/>
  </w:num>
  <w:num w:numId="31" w16cid:durableId="174882405">
    <w:abstractNumId w:val="18"/>
  </w:num>
  <w:num w:numId="32" w16cid:durableId="1748720543">
    <w:abstractNumId w:val="8"/>
  </w:num>
  <w:num w:numId="33" w16cid:durableId="1433160918">
    <w:abstractNumId w:val="1"/>
  </w:num>
  <w:num w:numId="34" w16cid:durableId="1854420756">
    <w:abstractNumId w:val="25"/>
  </w:num>
  <w:num w:numId="35" w16cid:durableId="1578437326">
    <w:abstractNumId w:val="23"/>
  </w:num>
  <w:num w:numId="36" w16cid:durableId="742218581">
    <w:abstractNumId w:val="15"/>
  </w:num>
  <w:num w:numId="37" w16cid:durableId="2018459388">
    <w:abstractNumId w:val="26"/>
  </w:num>
  <w:num w:numId="38" w16cid:durableId="951396193">
    <w:abstractNumId w:val="16"/>
  </w:num>
  <w:num w:numId="39" w16cid:durableId="1329744825">
    <w:abstractNumId w:val="37"/>
  </w:num>
  <w:num w:numId="40" w16cid:durableId="838496793">
    <w:abstractNumId w:val="33"/>
  </w:num>
  <w:num w:numId="41" w16cid:durableId="804810229">
    <w:abstractNumId w:val="9"/>
  </w:num>
  <w:num w:numId="42" w16cid:durableId="484786793">
    <w:abstractNumId w:val="27"/>
  </w:num>
  <w:num w:numId="43" w16cid:durableId="2100788844">
    <w:abstractNumId w:val="21"/>
  </w:num>
  <w:num w:numId="44" w16cid:durableId="852377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23402"/>
    <w:rsid w:val="00033EDE"/>
    <w:rsid w:val="000528D6"/>
    <w:rsid w:val="0006262D"/>
    <w:rsid w:val="0007054F"/>
    <w:rsid w:val="0007076C"/>
    <w:rsid w:val="000C1FD4"/>
    <w:rsid w:val="000D4A54"/>
    <w:rsid w:val="000D5C5F"/>
    <w:rsid w:val="000E0B71"/>
    <w:rsid w:val="000F6912"/>
    <w:rsid w:val="000F6C40"/>
    <w:rsid w:val="00160548"/>
    <w:rsid w:val="0019229D"/>
    <w:rsid w:val="001B46F2"/>
    <w:rsid w:val="001B75F2"/>
    <w:rsid w:val="001C431F"/>
    <w:rsid w:val="001D79DD"/>
    <w:rsid w:val="001E743F"/>
    <w:rsid w:val="001F4EBB"/>
    <w:rsid w:val="00201F45"/>
    <w:rsid w:val="00210B28"/>
    <w:rsid w:val="00216EE6"/>
    <w:rsid w:val="00224D87"/>
    <w:rsid w:val="00224DAD"/>
    <w:rsid w:val="00231E59"/>
    <w:rsid w:val="00245DCA"/>
    <w:rsid w:val="0026370D"/>
    <w:rsid w:val="00270B69"/>
    <w:rsid w:val="0028784D"/>
    <w:rsid w:val="002C7A06"/>
    <w:rsid w:val="002D678B"/>
    <w:rsid w:val="002E687B"/>
    <w:rsid w:val="002F7DE6"/>
    <w:rsid w:val="00303D83"/>
    <w:rsid w:val="00305C37"/>
    <w:rsid w:val="00305EBA"/>
    <w:rsid w:val="003156D0"/>
    <w:rsid w:val="00317C5E"/>
    <w:rsid w:val="00323B13"/>
    <w:rsid w:val="00326A4C"/>
    <w:rsid w:val="00336FB8"/>
    <w:rsid w:val="00342D26"/>
    <w:rsid w:val="00370E4E"/>
    <w:rsid w:val="00392721"/>
    <w:rsid w:val="003A3CCC"/>
    <w:rsid w:val="003B7E28"/>
    <w:rsid w:val="003C5138"/>
    <w:rsid w:val="003F3574"/>
    <w:rsid w:val="003F5AB2"/>
    <w:rsid w:val="00412EB1"/>
    <w:rsid w:val="004442C2"/>
    <w:rsid w:val="00466989"/>
    <w:rsid w:val="004962AF"/>
    <w:rsid w:val="004A23C2"/>
    <w:rsid w:val="004C053B"/>
    <w:rsid w:val="004D6D1A"/>
    <w:rsid w:val="004E651B"/>
    <w:rsid w:val="00502B96"/>
    <w:rsid w:val="00512113"/>
    <w:rsid w:val="005208A8"/>
    <w:rsid w:val="00540F3F"/>
    <w:rsid w:val="005448E9"/>
    <w:rsid w:val="0055156D"/>
    <w:rsid w:val="005A1A68"/>
    <w:rsid w:val="005B3313"/>
    <w:rsid w:val="005C1073"/>
    <w:rsid w:val="005F3AE6"/>
    <w:rsid w:val="005F4D11"/>
    <w:rsid w:val="006407BF"/>
    <w:rsid w:val="006647B1"/>
    <w:rsid w:val="006730CC"/>
    <w:rsid w:val="00681E67"/>
    <w:rsid w:val="0068558F"/>
    <w:rsid w:val="006930E6"/>
    <w:rsid w:val="006B308D"/>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672E"/>
    <w:rsid w:val="00816DD4"/>
    <w:rsid w:val="0082290B"/>
    <w:rsid w:val="0083013F"/>
    <w:rsid w:val="0083345F"/>
    <w:rsid w:val="00835727"/>
    <w:rsid w:val="00842C73"/>
    <w:rsid w:val="00846654"/>
    <w:rsid w:val="008B1A45"/>
    <w:rsid w:val="008F101D"/>
    <w:rsid w:val="009022DD"/>
    <w:rsid w:val="0090496C"/>
    <w:rsid w:val="009065DA"/>
    <w:rsid w:val="00910FF4"/>
    <w:rsid w:val="00912361"/>
    <w:rsid w:val="00914C68"/>
    <w:rsid w:val="00915FEB"/>
    <w:rsid w:val="00977704"/>
    <w:rsid w:val="009A0E35"/>
    <w:rsid w:val="009C13BF"/>
    <w:rsid w:val="009D2770"/>
    <w:rsid w:val="009E265F"/>
    <w:rsid w:val="00A10D74"/>
    <w:rsid w:val="00A11BF9"/>
    <w:rsid w:val="00A313C2"/>
    <w:rsid w:val="00A41D36"/>
    <w:rsid w:val="00A44C00"/>
    <w:rsid w:val="00A6289F"/>
    <w:rsid w:val="00A66898"/>
    <w:rsid w:val="00A729A3"/>
    <w:rsid w:val="00A91314"/>
    <w:rsid w:val="00A95041"/>
    <w:rsid w:val="00A96628"/>
    <w:rsid w:val="00AB0DDF"/>
    <w:rsid w:val="00AF2A4E"/>
    <w:rsid w:val="00AF353A"/>
    <w:rsid w:val="00B0694C"/>
    <w:rsid w:val="00B136D7"/>
    <w:rsid w:val="00B73E62"/>
    <w:rsid w:val="00BD6D3B"/>
    <w:rsid w:val="00BE115D"/>
    <w:rsid w:val="00BE671D"/>
    <w:rsid w:val="00BF1484"/>
    <w:rsid w:val="00C1496A"/>
    <w:rsid w:val="00C307C6"/>
    <w:rsid w:val="00C36825"/>
    <w:rsid w:val="00C606C8"/>
    <w:rsid w:val="00C64778"/>
    <w:rsid w:val="00C65631"/>
    <w:rsid w:val="00C6666F"/>
    <w:rsid w:val="00C70730"/>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723C"/>
    <w:rsid w:val="00E8198F"/>
    <w:rsid w:val="00E861DB"/>
    <w:rsid w:val="00EA1117"/>
    <w:rsid w:val="00EA718C"/>
    <w:rsid w:val="00EB5469"/>
    <w:rsid w:val="00EC0C39"/>
    <w:rsid w:val="00ED3002"/>
    <w:rsid w:val="00ED5885"/>
    <w:rsid w:val="00ED64ED"/>
    <w:rsid w:val="00EF0803"/>
    <w:rsid w:val="00F330E0"/>
    <w:rsid w:val="00F5381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E6"/>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6930E6"/>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6930E6"/>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4405</Words>
  <Characters>24229</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3</cp:revision>
  <cp:lastPrinted>2023-09-28T15:18:00Z</cp:lastPrinted>
  <dcterms:created xsi:type="dcterms:W3CDTF">2025-08-29T15:47:00Z</dcterms:created>
  <dcterms:modified xsi:type="dcterms:W3CDTF">2025-09-08T12:01:00Z</dcterms:modified>
  <cp:contentStatus/>
</cp:coreProperties>
</file>